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7B02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143F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/>
        </w:rPr>
        <w:t>综合素质分部分项目评分细则</w:t>
      </w:r>
    </w:p>
    <w:p w14:paraId="3E2A32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综合素质分（B）为符合学生全面发展价值导向的参军入伍服兵役、参加志愿服务、国际组织实习、科研成果、竞赛获奖等五项内容，其分值为五项内容得分总和。</w:t>
      </w:r>
    </w:p>
    <w:p w14:paraId="7A5C3F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一、参军入伍服兵役学生，可获得综合素质分10分。</w:t>
      </w:r>
    </w:p>
    <w:p w14:paraId="2E6732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二、参加志愿服务项目：参照国家民政部建设的中国志愿服务网认定的志愿服务累计时长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认定。志愿服务时长每满100小时得1分，最高得10分。</w:t>
      </w:r>
    </w:p>
    <w:p w14:paraId="4BD646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三、参加国家留学基金管理委员会设立并实施的国际组织实习项目的，可获得综合素质分10分。</w:t>
      </w:r>
    </w:p>
    <w:p w14:paraId="73D31D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四、科研成果项目：仅限于学生本科阶段在核心期刊及以上刊物上，以独立作者或排序第一作者发表的与学业相关的科研论文（产权所属单位为河南农业大学）。根据刊物级别和排名认定：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中科院大类一区且影响因子10以上得分30，中科院大类一区影响因子10以下得分15，中科院大类二区得分10，中科院大类三区及以下得分5，中文核心期刊得分10。最高得30分。</w:t>
      </w:r>
    </w:p>
    <w:p w14:paraId="54ED21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五、竞赛获奖项目：仅限于作为主力成员（前3名）参加，与学业相关的中国国际大学生创新大赛（原中国“互联网+”大学生创新创业大赛）、“挑战杯”全国大学生课外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学术科技作品竞赛（含“挑战杯”中国大学生创业计划竞赛）、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创青春”中国青年创新创业大赛等三项国内权威竞赛，并获得三等奖或铜奖以上的奖励。根据获奖级别和名次认定：第一等级获奖的第1/2/3名得分40/35/30，第二等级获奖的第1/2/3名得分30/25/20，第三等级获奖的第1/2/3名得分20/15/10。最高得40分。</w:t>
      </w:r>
    </w:p>
    <w:p w14:paraId="2E854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7013D"/>
    <w:rsid w:val="1FC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2025-09-03T02:06:00Z</dcterms:created>
  <dc:creator>无情</dc:creator>
  <cp:lastModifiedBy>无情</cp:lastModifiedBy>
  <dcterms:modified xsi:type="dcterms:W3CDTF">2025-09-03T02:06:50Z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2377A360DE45493199E129C110DC027A_11</vt:lpwstr>
  </property>
  <property fmtid="{D5CDD505-2E9C-101B-9397-08002B2CF9AE}" pid="4" name="KSOTemplateDocerSaveRecord">
    <vt:lpwstr>eyJoZGlkIjoiZjAyNTIxMWQxOTIxZTkxMDc0OTgxZTk0ZGNmOTc1M2MiLCJ1c2VySWQiOiI1NzAzNjgwNzEifQ==</vt:lpwstr>
  </property>
</Properties>
</file>